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E5F3A" w14:textId="77777777" w:rsidR="00B06C34" w:rsidRDefault="005840E4">
      <w:r>
        <w:rPr>
          <w:sz w:val="8"/>
          <w:szCs w:val="8"/>
          <w:lang w:val="en-US"/>
        </w:rPr>
        <w:t xml:space="preserve"> </w:t>
      </w:r>
    </w:p>
    <w:tbl>
      <w:tblPr>
        <w:tblW w:w="4950" w:type="pct"/>
        <w:tblLayout w:type="fixed"/>
        <w:tblCellMar>
          <w:left w:w="10" w:type="dxa"/>
          <w:right w:w="10" w:type="dxa"/>
        </w:tblCellMar>
        <w:tblLook w:val="0000" w:firstRow="0" w:lastRow="0" w:firstColumn="0" w:lastColumn="0" w:noHBand="0" w:noVBand="0"/>
      </w:tblPr>
      <w:tblGrid>
        <w:gridCol w:w="285"/>
        <w:gridCol w:w="1848"/>
        <w:gridCol w:w="426"/>
        <w:gridCol w:w="568"/>
        <w:gridCol w:w="6358"/>
      </w:tblGrid>
      <w:tr w:rsidR="00B06C34" w14:paraId="4894F27A" w14:textId="77777777">
        <w:tblPrEx>
          <w:tblCellMar>
            <w:top w:w="0" w:type="dxa"/>
            <w:bottom w:w="0" w:type="dxa"/>
          </w:tblCellMar>
        </w:tblPrEx>
        <w:tc>
          <w:tcPr>
            <w:tcW w:w="9485" w:type="dxa"/>
            <w:gridSpan w:val="5"/>
            <w:shd w:val="clear" w:color="auto" w:fill="auto"/>
            <w:tcMar>
              <w:top w:w="0" w:type="dxa"/>
              <w:left w:w="0" w:type="dxa"/>
              <w:bottom w:w="0" w:type="dxa"/>
              <w:right w:w="0" w:type="dxa"/>
            </w:tcMar>
          </w:tcPr>
          <w:p w14:paraId="3C28115B" w14:textId="77777777" w:rsidR="00B06C34" w:rsidRDefault="00B06C34">
            <w:pPr>
              <w:jc w:val="center"/>
              <w:rPr>
                <w:rFonts w:ascii="Liberation Serif" w:hAnsi="Liberation Serif"/>
                <w:b/>
                <w:sz w:val="22"/>
                <w:szCs w:val="22"/>
              </w:rPr>
            </w:pPr>
          </w:p>
          <w:p w14:paraId="682EAF5E" w14:textId="77777777" w:rsidR="00B06C34" w:rsidRDefault="00B06C34">
            <w:pPr>
              <w:ind w:left="-57"/>
              <w:jc w:val="center"/>
              <w:rPr>
                <w:rFonts w:ascii="Liberation Serif" w:hAnsi="Liberation Serif"/>
                <w:b/>
                <w:spacing w:val="2"/>
                <w:sz w:val="28"/>
                <w:szCs w:val="28"/>
              </w:rPr>
            </w:pPr>
          </w:p>
          <w:p w14:paraId="620A84C9" w14:textId="77777777" w:rsidR="00B06C34" w:rsidRDefault="00B06C34">
            <w:pPr>
              <w:ind w:left="-57"/>
              <w:jc w:val="center"/>
              <w:rPr>
                <w:rFonts w:ascii="Liberation Serif" w:hAnsi="Liberation Serif"/>
                <w:b/>
                <w:spacing w:val="2"/>
                <w:sz w:val="32"/>
                <w:szCs w:val="32"/>
              </w:rPr>
            </w:pPr>
          </w:p>
        </w:tc>
      </w:tr>
      <w:tr w:rsidR="00B06C34" w14:paraId="7CAA66A8" w14:textId="77777777">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15271BE6" w14:textId="77777777" w:rsidR="00B06C34" w:rsidRDefault="005840E4">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1865F769" w14:textId="77777777" w:rsidR="00B06C34" w:rsidRDefault="005840E4">
            <w:pPr>
              <w:tabs>
                <w:tab w:val="left" w:leader="underscore" w:pos="9639"/>
              </w:tabs>
              <w:jc w:val="center"/>
            </w:pPr>
            <w:r>
              <w:rPr>
                <w:rFonts w:ascii="Liberation Serif" w:hAnsi="Liberation Serif"/>
                <w:b/>
                <w:sz w:val="28"/>
                <w:szCs w:val="28"/>
              </w:rPr>
              <w:t>Верхняя Пышма</w:t>
            </w:r>
          </w:p>
          <w:p w14:paraId="1AD13B1B" w14:textId="77777777" w:rsidR="00B06C34" w:rsidRDefault="005840E4">
            <w:pPr>
              <w:jc w:val="center"/>
            </w:pPr>
            <w:r>
              <w:rPr>
                <w:rFonts w:ascii="Liberation Serif" w:hAnsi="Liberation Serif"/>
                <w:b/>
                <w:spacing w:val="40"/>
                <w:sz w:val="32"/>
                <w:szCs w:val="34"/>
              </w:rPr>
              <w:t>ПОСТАНОВЛЕНИЕ</w:t>
            </w:r>
          </w:p>
          <w:p w14:paraId="67D54AFB" w14:textId="77777777" w:rsidR="00B06C34" w:rsidRDefault="005840E4">
            <w:pPr>
              <w:jc w:val="center"/>
            </w:pPr>
            <w:r>
              <w:rPr>
                <w:rFonts w:ascii="Liberation Serif" w:hAnsi="Liberation Serif"/>
                <w:b/>
                <w:noProof/>
                <w:sz w:val="34"/>
                <w:szCs w:val="34"/>
              </w:rPr>
              <mc:AlternateContent>
                <mc:Choice Requires="wps">
                  <w:drawing>
                    <wp:anchor distT="0" distB="0" distL="114300" distR="114300" simplePos="0" relativeHeight="251658240" behindDoc="0" locked="0" layoutInCell="1" allowOverlap="1" wp14:anchorId="61E5FFAB" wp14:editId="4F8E2115">
                      <wp:simplePos x="0" y="0"/>
                      <wp:positionH relativeFrom="column">
                        <wp:posOffset>267974</wp:posOffset>
                      </wp:positionH>
                      <wp:positionV relativeFrom="paragraph">
                        <wp:posOffset>46991</wp:posOffset>
                      </wp:positionV>
                      <wp:extent cx="5760089" cy="0"/>
                      <wp:effectExtent l="0" t="19050" r="12061" b="19050"/>
                      <wp:wrapNone/>
                      <wp:docPr id="1"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08DC88BD" id="Line 3" o:spid="_x0000_s1026" style="position:absolute;margin-left:21.1pt;margin-top:3.7pt;width:453.55pt;height:0;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y8ZbQ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" path="m,l5760089,1e" filled="f" strokeweight="1.0584mm">
                      <v:path arrowok="t" o:connecttype="custom" o:connectlocs="2880045,0;5760089,1;2880045,1;0,1;0,0;5760089,1" o:connectangles="270,0,90,180,90,270" textboxrect="0,0,5760089,0"/>
                    </v:shape>
                  </w:pict>
                </mc:Fallback>
              </mc:AlternateContent>
            </w:r>
          </w:p>
        </w:tc>
      </w:tr>
      <w:tr w:rsidR="00B06C34" w14:paraId="263609BA" w14:textId="77777777">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30313551" w14:textId="77777777" w:rsidR="00B06C34" w:rsidRDefault="005840E4">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6AD728AF" w14:textId="77777777" w:rsidR="00B06C34" w:rsidRDefault="005840E4">
            <w:pPr>
              <w:tabs>
                <w:tab w:val="left" w:leader="underscore" w:pos="9639"/>
              </w:tabs>
              <w:jc w:val="center"/>
            </w:pPr>
            <w:bookmarkStart w:id="0" w:name="Регдата"/>
            <w:bookmarkEnd w:id="0"/>
            <w:r>
              <w:t>10.08.2026</w:t>
            </w:r>
          </w:p>
        </w:tc>
        <w:tc>
          <w:tcPr>
            <w:tcW w:w="426" w:type="dxa"/>
            <w:shd w:val="clear" w:color="auto" w:fill="auto"/>
            <w:tcMar>
              <w:top w:w="0" w:type="dxa"/>
              <w:left w:w="0" w:type="dxa"/>
              <w:bottom w:w="0" w:type="dxa"/>
              <w:right w:w="0" w:type="dxa"/>
            </w:tcMar>
            <w:vAlign w:val="bottom"/>
          </w:tcPr>
          <w:p w14:paraId="5B40AD9F" w14:textId="77777777" w:rsidR="00B06C34" w:rsidRDefault="005840E4">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5B5183E7" w14:textId="77777777" w:rsidR="00B06C34" w:rsidRDefault="005840E4">
            <w:pPr>
              <w:tabs>
                <w:tab w:val="left" w:leader="underscore" w:pos="9639"/>
              </w:tabs>
              <w:jc w:val="center"/>
            </w:pPr>
            <w:bookmarkStart w:id="1" w:name="Регномер"/>
            <w:bookmarkEnd w:id="1"/>
            <w:r>
              <w:t>1196</w:t>
            </w:r>
          </w:p>
        </w:tc>
        <w:tc>
          <w:tcPr>
            <w:tcW w:w="6358" w:type="dxa"/>
            <w:shd w:val="clear" w:color="auto" w:fill="auto"/>
            <w:tcMar>
              <w:top w:w="0" w:type="dxa"/>
              <w:left w:w="0" w:type="dxa"/>
              <w:bottom w:w="0" w:type="dxa"/>
              <w:right w:w="0" w:type="dxa"/>
            </w:tcMar>
            <w:vAlign w:val="bottom"/>
          </w:tcPr>
          <w:p w14:paraId="613E1845" w14:textId="77777777" w:rsidR="00B06C34" w:rsidRDefault="005840E4">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B06C34" w14:paraId="1CACDF25" w14:textId="77777777">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021FE550" w14:textId="77777777" w:rsidR="00B06C34" w:rsidRDefault="00B06C34">
            <w:pPr>
              <w:rPr>
                <w:rFonts w:ascii="Liberation Serif" w:hAnsi="Liberation Serif"/>
                <w:sz w:val="20"/>
                <w:szCs w:val="28"/>
              </w:rPr>
            </w:pPr>
          </w:p>
        </w:tc>
      </w:tr>
      <w:tr w:rsidR="00B06C34" w14:paraId="68CD06FC" w14:textId="77777777">
        <w:tblPrEx>
          <w:tblCellMar>
            <w:top w:w="0" w:type="dxa"/>
            <w:bottom w:w="0" w:type="dxa"/>
          </w:tblCellMar>
        </w:tblPrEx>
        <w:tc>
          <w:tcPr>
            <w:tcW w:w="9485" w:type="dxa"/>
            <w:gridSpan w:val="5"/>
            <w:shd w:val="clear" w:color="auto" w:fill="auto"/>
            <w:tcMar>
              <w:top w:w="0" w:type="dxa"/>
              <w:left w:w="0" w:type="dxa"/>
              <w:bottom w:w="0" w:type="dxa"/>
              <w:right w:w="0" w:type="dxa"/>
            </w:tcMar>
          </w:tcPr>
          <w:p w14:paraId="2EF940F2" w14:textId="77777777" w:rsidR="00B06C34" w:rsidRDefault="005840E4">
            <w:r>
              <w:rPr>
                <w:rFonts w:ascii="Liberation Serif" w:hAnsi="Liberation Serif"/>
                <w:sz w:val="20"/>
                <w:szCs w:val="28"/>
              </w:rPr>
              <w:t>г. Верхняя Пышма</w:t>
            </w:r>
          </w:p>
          <w:p w14:paraId="2B3D5EBB" w14:textId="77777777" w:rsidR="00B06C34" w:rsidRDefault="00B06C34">
            <w:pPr>
              <w:rPr>
                <w:rFonts w:ascii="Liberation Serif" w:hAnsi="Liberation Serif"/>
                <w:sz w:val="28"/>
                <w:szCs w:val="28"/>
                <w:lang w:val="en-US"/>
              </w:rPr>
            </w:pPr>
          </w:p>
          <w:p w14:paraId="6C67E51A" w14:textId="77777777" w:rsidR="00B06C34" w:rsidRDefault="00B06C34">
            <w:pPr>
              <w:rPr>
                <w:rFonts w:ascii="Liberation Serif" w:hAnsi="Liberation Serif"/>
                <w:sz w:val="28"/>
                <w:szCs w:val="28"/>
                <w:lang w:val="en-US"/>
              </w:rPr>
            </w:pPr>
          </w:p>
        </w:tc>
      </w:tr>
      <w:tr w:rsidR="00B06C34" w14:paraId="24F72FCE" w14:textId="77777777">
        <w:tblPrEx>
          <w:tblCellMar>
            <w:top w:w="0" w:type="dxa"/>
            <w:bottom w:w="0" w:type="dxa"/>
          </w:tblCellMar>
        </w:tblPrEx>
        <w:tc>
          <w:tcPr>
            <w:tcW w:w="9485" w:type="dxa"/>
            <w:gridSpan w:val="5"/>
            <w:shd w:val="clear" w:color="auto" w:fill="auto"/>
            <w:tcMar>
              <w:top w:w="0" w:type="dxa"/>
              <w:left w:w="0" w:type="dxa"/>
              <w:bottom w:w="0" w:type="dxa"/>
              <w:right w:w="0" w:type="dxa"/>
            </w:tcMar>
          </w:tcPr>
          <w:p w14:paraId="1C91EB28" w14:textId="77777777" w:rsidR="00B06C34" w:rsidRDefault="005840E4">
            <w:pPr>
              <w:jc w:val="center"/>
              <w:rPr>
                <w:rFonts w:ascii="Liberation Serif" w:hAnsi="Liberation Serif"/>
                <w:b/>
                <w:i/>
                <w:sz w:val="28"/>
                <w:szCs w:val="28"/>
              </w:rPr>
            </w:pPr>
            <w:r>
              <w:rPr>
                <w:rFonts w:ascii="Liberation Serif" w:hAnsi="Liberation Serif"/>
                <w:b/>
                <w:i/>
                <w:sz w:val="28"/>
                <w:szCs w:val="28"/>
              </w:rPr>
              <w:t xml:space="preserve">О внесении изменений в Схему размещения нестационарных торговых объектов, утвержденную постановлением </w:t>
            </w:r>
            <w:r>
              <w:rPr>
                <w:rFonts w:ascii="Liberation Serif" w:hAnsi="Liberation Serif"/>
                <w:b/>
                <w:i/>
                <w:sz w:val="28"/>
                <w:szCs w:val="28"/>
              </w:rPr>
              <w:t>администрации городского округа Верхняя Пышма от 28.02.2019 № 211 «Об утверждении схемы размещения нестационарных торговых объектов на территории городского округа Верхняя Пышма»</w:t>
            </w:r>
          </w:p>
        </w:tc>
      </w:tr>
      <w:tr w:rsidR="00B06C34" w14:paraId="7C74E3F9" w14:textId="77777777">
        <w:tblPrEx>
          <w:tblCellMar>
            <w:top w:w="0" w:type="dxa"/>
            <w:bottom w:w="0" w:type="dxa"/>
          </w:tblCellMar>
        </w:tblPrEx>
        <w:tc>
          <w:tcPr>
            <w:tcW w:w="9485" w:type="dxa"/>
            <w:gridSpan w:val="5"/>
            <w:shd w:val="clear" w:color="auto" w:fill="auto"/>
            <w:tcMar>
              <w:top w:w="0" w:type="dxa"/>
              <w:left w:w="0" w:type="dxa"/>
              <w:bottom w:w="0" w:type="dxa"/>
              <w:right w:w="0" w:type="dxa"/>
            </w:tcMar>
          </w:tcPr>
          <w:p w14:paraId="39F1B63F" w14:textId="77777777" w:rsidR="00B06C34" w:rsidRDefault="00B06C34">
            <w:pPr>
              <w:jc w:val="center"/>
              <w:rPr>
                <w:rFonts w:ascii="Liberation Serif" w:hAnsi="Liberation Serif"/>
                <w:sz w:val="28"/>
                <w:szCs w:val="28"/>
              </w:rPr>
            </w:pPr>
          </w:p>
          <w:p w14:paraId="08E96283" w14:textId="77777777" w:rsidR="00B06C34" w:rsidRDefault="00B06C34">
            <w:pPr>
              <w:jc w:val="center"/>
              <w:rPr>
                <w:rFonts w:ascii="Liberation Serif" w:hAnsi="Liberation Serif"/>
                <w:sz w:val="28"/>
                <w:szCs w:val="28"/>
              </w:rPr>
            </w:pPr>
          </w:p>
        </w:tc>
      </w:tr>
    </w:tbl>
    <w:p w14:paraId="2B5AC3FD" w14:textId="77777777" w:rsidR="00B06C34" w:rsidRDefault="005840E4">
      <w:pPr>
        <w:autoSpaceDE w:val="0"/>
        <w:ind w:firstLine="708"/>
        <w:jc w:val="both"/>
        <w:textAlignment w:val="auto"/>
      </w:pPr>
      <w:r>
        <w:rPr>
          <w:rFonts w:ascii="Liberation Serif" w:hAnsi="Liberation Serif"/>
          <w:sz w:val="28"/>
          <w:szCs w:val="28"/>
        </w:rPr>
        <w:t>В соответствии</w:t>
      </w:r>
      <w:r>
        <w:rPr>
          <w:rFonts w:ascii="Liberation Serif" w:hAnsi="Liberation Serif"/>
          <w:szCs w:val="28"/>
        </w:rPr>
        <w:t xml:space="preserve"> </w:t>
      </w:r>
      <w:r>
        <w:rPr>
          <w:rFonts w:ascii="Liberation Serif" w:hAnsi="Liberation Serif"/>
          <w:sz w:val="28"/>
          <w:szCs w:val="28"/>
        </w:rPr>
        <w:t>со статьей 16</w:t>
      </w:r>
      <w:r>
        <w:rPr>
          <w:rFonts w:ascii="Liberation Serif" w:hAnsi="Liberation Serif"/>
          <w:sz w:val="14"/>
          <w:szCs w:val="28"/>
        </w:rPr>
        <w:t xml:space="preserve"> </w:t>
      </w:r>
      <w:r>
        <w:rPr>
          <w:rFonts w:ascii="Liberation Serif" w:hAnsi="Liberation Serif"/>
          <w:sz w:val="28"/>
          <w:szCs w:val="28"/>
        </w:rPr>
        <w:t>Федерального закона</w:t>
      </w:r>
      <w:r>
        <w:rPr>
          <w:rFonts w:ascii="Liberation Serif" w:hAnsi="Liberation Serif"/>
          <w:szCs w:val="28"/>
        </w:rPr>
        <w:t xml:space="preserve"> </w:t>
      </w:r>
      <w:r>
        <w:rPr>
          <w:rFonts w:ascii="Liberation Serif" w:hAnsi="Liberation Serif"/>
          <w:szCs w:val="28"/>
        </w:rPr>
        <w:br/>
      </w:r>
      <w:r>
        <w:rPr>
          <w:rFonts w:ascii="Liberation Serif" w:hAnsi="Liberation Serif"/>
          <w:sz w:val="28"/>
          <w:szCs w:val="28"/>
        </w:rPr>
        <w:t>от</w:t>
      </w:r>
      <w:r>
        <w:rPr>
          <w:rFonts w:ascii="Liberation Serif" w:hAnsi="Liberation Serif"/>
          <w:sz w:val="22"/>
          <w:szCs w:val="28"/>
        </w:rPr>
        <w:t xml:space="preserve"> </w:t>
      </w:r>
      <w:r>
        <w:rPr>
          <w:rFonts w:ascii="Liberation Serif" w:hAnsi="Liberation Serif"/>
          <w:sz w:val="28"/>
          <w:szCs w:val="28"/>
        </w:rPr>
        <w:t>06</w:t>
      </w:r>
      <w:r>
        <w:rPr>
          <w:rFonts w:ascii="Liberation Serif" w:hAnsi="Liberation Serif"/>
          <w:sz w:val="22"/>
          <w:szCs w:val="28"/>
        </w:rPr>
        <w:t xml:space="preserve"> </w:t>
      </w:r>
      <w:r>
        <w:rPr>
          <w:rFonts w:ascii="Liberation Serif" w:hAnsi="Liberation Serif"/>
          <w:sz w:val="28"/>
          <w:szCs w:val="28"/>
        </w:rPr>
        <w:t>октября 2003 года</w:t>
      </w:r>
      <w:r>
        <w:rPr>
          <w:rFonts w:ascii="Liberation Serif" w:hAnsi="Liberation Serif"/>
          <w:sz w:val="16"/>
          <w:szCs w:val="28"/>
        </w:rPr>
        <w:t xml:space="preserve"> </w:t>
      </w:r>
      <w:r>
        <w:rPr>
          <w:rFonts w:ascii="Liberation Serif" w:hAnsi="Liberation Serif"/>
          <w:sz w:val="28"/>
          <w:szCs w:val="28"/>
        </w:rPr>
        <w:t>№</w:t>
      </w:r>
      <w:r>
        <w:rPr>
          <w:rFonts w:ascii="Liberation Serif" w:hAnsi="Liberation Serif"/>
          <w:sz w:val="16"/>
          <w:szCs w:val="28"/>
        </w:rPr>
        <w:t xml:space="preserve"> </w:t>
      </w:r>
      <w:r>
        <w:rPr>
          <w:rFonts w:ascii="Liberation Serif" w:hAnsi="Liberation Serif"/>
          <w:sz w:val="28"/>
          <w:szCs w:val="28"/>
        </w:rPr>
        <w:t>131-ФЗ «Об общих принципах организации местного самоуправления в Российской Федерации», статьей</w:t>
      </w:r>
      <w:r>
        <w:rPr>
          <w:rFonts w:ascii="Liberation Serif" w:hAnsi="Liberation Serif"/>
          <w:sz w:val="22"/>
          <w:szCs w:val="28"/>
        </w:rPr>
        <w:t xml:space="preserve"> </w:t>
      </w:r>
      <w:r>
        <w:rPr>
          <w:rFonts w:ascii="Liberation Serif" w:hAnsi="Liberation Serif"/>
          <w:sz w:val="28"/>
          <w:szCs w:val="28"/>
        </w:rPr>
        <w:t>10</w:t>
      </w:r>
      <w:r>
        <w:rPr>
          <w:rFonts w:ascii="Liberation Serif" w:hAnsi="Liberation Serif"/>
          <w:szCs w:val="28"/>
        </w:rPr>
        <w:t xml:space="preserve"> </w:t>
      </w:r>
      <w:r>
        <w:rPr>
          <w:rFonts w:ascii="Liberation Serif" w:hAnsi="Liberation Serif"/>
          <w:sz w:val="28"/>
          <w:szCs w:val="28"/>
        </w:rPr>
        <w:t xml:space="preserve">Федерального закона </w:t>
      </w:r>
      <w:r>
        <w:rPr>
          <w:rFonts w:ascii="Liberation Serif" w:hAnsi="Liberation Serif"/>
          <w:sz w:val="28"/>
          <w:szCs w:val="28"/>
        </w:rPr>
        <w:br/>
      </w:r>
      <w:r>
        <w:rPr>
          <w:rFonts w:ascii="Liberation Serif" w:hAnsi="Liberation Serif"/>
          <w:sz w:val="28"/>
          <w:szCs w:val="28"/>
        </w:rPr>
        <w:t>от</w:t>
      </w:r>
      <w:r>
        <w:rPr>
          <w:rFonts w:ascii="Liberation Serif" w:hAnsi="Liberation Serif"/>
          <w:sz w:val="22"/>
          <w:szCs w:val="28"/>
        </w:rPr>
        <w:t xml:space="preserve"> </w:t>
      </w:r>
      <w:r>
        <w:rPr>
          <w:rFonts w:ascii="Liberation Serif" w:hAnsi="Liberation Serif"/>
          <w:sz w:val="28"/>
          <w:szCs w:val="28"/>
        </w:rPr>
        <w:t>28</w:t>
      </w:r>
      <w:r>
        <w:rPr>
          <w:rFonts w:ascii="Liberation Serif" w:hAnsi="Liberation Serif"/>
          <w:sz w:val="22"/>
          <w:szCs w:val="28"/>
        </w:rPr>
        <w:t xml:space="preserve"> </w:t>
      </w:r>
      <w:r>
        <w:rPr>
          <w:rFonts w:ascii="Liberation Serif" w:hAnsi="Liberation Serif"/>
          <w:sz w:val="28"/>
          <w:szCs w:val="28"/>
        </w:rPr>
        <w:t>декабря</w:t>
      </w:r>
      <w:r>
        <w:rPr>
          <w:rFonts w:ascii="Liberation Serif" w:hAnsi="Liberation Serif"/>
          <w:sz w:val="22"/>
          <w:szCs w:val="28"/>
        </w:rPr>
        <w:t xml:space="preserve"> </w:t>
      </w:r>
      <w:r>
        <w:rPr>
          <w:rFonts w:ascii="Liberation Serif" w:hAnsi="Liberation Serif"/>
          <w:sz w:val="28"/>
          <w:szCs w:val="28"/>
        </w:rPr>
        <w:t>2009 года</w:t>
      </w:r>
      <w:r>
        <w:rPr>
          <w:rFonts w:ascii="Liberation Serif" w:hAnsi="Liberation Serif"/>
          <w:sz w:val="22"/>
          <w:szCs w:val="28"/>
        </w:rPr>
        <w:t xml:space="preserve"> </w:t>
      </w:r>
      <w:r>
        <w:rPr>
          <w:rFonts w:ascii="Liberation Serif" w:hAnsi="Liberation Serif"/>
          <w:sz w:val="28"/>
          <w:szCs w:val="28"/>
        </w:rPr>
        <w:t>№ 381-ФЗ «Об основах государственного регулирования торговой деятельности в Российской Федерации», статьями 5</w:t>
      </w:r>
      <w:r>
        <w:rPr>
          <w:rFonts w:ascii="Liberation Serif" w:hAnsi="Liberation Serif"/>
          <w:sz w:val="28"/>
          <w:szCs w:val="28"/>
        </w:rPr>
        <w:t xml:space="preserve">2, 61 Федерального закона </w:t>
      </w:r>
      <w:r>
        <w:rPr>
          <w:rFonts w:ascii="Liberation Serif" w:hAnsi="Liberation Serif" w:cs="Liberation Serif"/>
          <w:sz w:val="28"/>
          <w:szCs w:val="28"/>
        </w:rPr>
        <w:t xml:space="preserve">от 20 марта 2025 года № 33-ФЗ «Об общих принципах организации местного самоуправления в единой системе публичной власти», </w:t>
      </w:r>
      <w:r>
        <w:rPr>
          <w:rFonts w:ascii="Liberation Serif" w:hAnsi="Liberation Serif"/>
          <w:sz w:val="28"/>
          <w:szCs w:val="28"/>
        </w:rPr>
        <w:t xml:space="preserve">постановлением Правительства Российской Федерации от 29.09.2010 № 772 «Об утверждении Правил </w:t>
      </w:r>
      <w:r>
        <w:rPr>
          <w:rFonts w:ascii="Liberation Serif" w:hAnsi="Liberation Serif"/>
          <w:sz w:val="28"/>
          <w:szCs w:val="28"/>
        </w:rPr>
        <w:t>включения нестационарных торговых объектов, расположенных на земельных участках, в зданиях, строениях и сооружениях, находящихся в государственной собственности, в схему размещения нестационарных торговых объектов», постановлением Правительства Свердловско</w:t>
      </w:r>
      <w:r>
        <w:rPr>
          <w:rFonts w:ascii="Liberation Serif" w:hAnsi="Liberation Serif"/>
          <w:sz w:val="28"/>
          <w:szCs w:val="28"/>
        </w:rPr>
        <w:t>й области от 27.04.2017 № 295-ПП «Об утверждении Порядка разработки и утверждения схем размещения нестационарных торговых объектов в муниципальных образованиях, расположенных на территории Свердловской области», подпунктом 1 пункта 1 постановления Правител</w:t>
      </w:r>
      <w:r>
        <w:rPr>
          <w:rFonts w:ascii="Liberation Serif" w:hAnsi="Liberation Serif"/>
          <w:sz w:val="28"/>
          <w:szCs w:val="28"/>
        </w:rPr>
        <w:t>ьства Свердловской области от 27.12.2022 № 934-ПП «Об особенностях разрешительных режимов в сфере торговли на территории Свердловской области в 2022 и 2023 годах», постановлением администрации городского округа Верхняя Пышма от 26.09.2018 № 860 «О разработ</w:t>
      </w:r>
      <w:r>
        <w:rPr>
          <w:rFonts w:ascii="Liberation Serif" w:hAnsi="Liberation Serif"/>
          <w:sz w:val="28"/>
          <w:szCs w:val="28"/>
        </w:rPr>
        <w:t>ке схемы размещения нестационарных торговых объектов на территории городского округа Верхняя Пышма» Администрация городского округа Верхняя Пышма</w:t>
      </w:r>
    </w:p>
    <w:p w14:paraId="541D968D" w14:textId="77777777" w:rsidR="00B06C34" w:rsidRDefault="005840E4">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0E2590AB" w14:textId="77777777" w:rsidR="00B06C34" w:rsidRDefault="005840E4">
      <w:pPr>
        <w:widowControl w:val="0"/>
        <w:numPr>
          <w:ilvl w:val="0"/>
          <w:numId w:val="2"/>
        </w:numPr>
        <w:ind w:left="0" w:firstLine="709"/>
        <w:jc w:val="both"/>
        <w:textAlignment w:val="auto"/>
        <w:rPr>
          <w:rFonts w:ascii="Liberation Serif" w:hAnsi="Liberation Serif"/>
          <w:sz w:val="28"/>
          <w:szCs w:val="28"/>
        </w:rPr>
      </w:pPr>
      <w:r>
        <w:rPr>
          <w:rFonts w:ascii="Liberation Serif" w:hAnsi="Liberation Serif"/>
          <w:sz w:val="28"/>
          <w:szCs w:val="28"/>
        </w:rPr>
        <w:t>Внести в Схему размещения нестационарных торговых объектов, утвержденную постановлением админист</w:t>
      </w:r>
      <w:r>
        <w:rPr>
          <w:rFonts w:ascii="Liberation Serif" w:hAnsi="Liberation Serif"/>
          <w:sz w:val="28"/>
          <w:szCs w:val="28"/>
        </w:rPr>
        <w:t xml:space="preserve">рации городского округа Верхняя </w:t>
      </w:r>
      <w:r>
        <w:rPr>
          <w:rFonts w:ascii="Liberation Serif" w:hAnsi="Liberation Serif"/>
          <w:sz w:val="28"/>
          <w:szCs w:val="28"/>
        </w:rPr>
        <w:lastRenderedPageBreak/>
        <w:t xml:space="preserve">Пышма от 28.02.2019 № 211 «Об утверждении схемы размещения нестационарных торговых объектов на территории городского округа Верхняя Пышма», следующие изменения: </w:t>
      </w:r>
    </w:p>
    <w:p w14:paraId="522BA3BF" w14:textId="77777777" w:rsidR="00B06C34" w:rsidRDefault="005840E4">
      <w:pPr>
        <w:widowControl w:val="0"/>
        <w:numPr>
          <w:ilvl w:val="0"/>
          <w:numId w:val="3"/>
        </w:numPr>
        <w:ind w:left="0" w:firstLine="709"/>
        <w:jc w:val="both"/>
        <w:textAlignment w:val="auto"/>
      </w:pPr>
      <w:r>
        <w:rPr>
          <w:rFonts w:ascii="Liberation Serif" w:hAnsi="Liberation Serif"/>
          <w:sz w:val="28"/>
          <w:szCs w:val="28"/>
        </w:rPr>
        <w:t>признать утратившими силу строки 6, 20, 23, 36, 58,</w:t>
      </w:r>
      <w:r>
        <w:rPr>
          <w:rFonts w:ascii="Liberation Serif" w:hAnsi="Liberation Serif"/>
          <w:sz w:val="28"/>
          <w:szCs w:val="28"/>
          <w:lang w:val="en-US"/>
        </w:rPr>
        <w:t xml:space="preserve"> </w:t>
      </w:r>
      <w:r>
        <w:rPr>
          <w:rFonts w:ascii="Liberation Serif" w:hAnsi="Liberation Serif"/>
          <w:sz w:val="28"/>
          <w:szCs w:val="28"/>
        </w:rPr>
        <w:t>60, 64, 10</w:t>
      </w:r>
      <w:r>
        <w:rPr>
          <w:rFonts w:ascii="Liberation Serif" w:hAnsi="Liberation Serif"/>
          <w:sz w:val="28"/>
          <w:szCs w:val="28"/>
        </w:rPr>
        <w:t xml:space="preserve">7, </w:t>
      </w:r>
      <w:r>
        <w:rPr>
          <w:rFonts w:ascii="Liberation Serif" w:hAnsi="Liberation Serif"/>
          <w:sz w:val="28"/>
          <w:szCs w:val="28"/>
          <w:lang w:val="en-US"/>
        </w:rPr>
        <w:t>113</w:t>
      </w:r>
      <w:r>
        <w:rPr>
          <w:rFonts w:ascii="Liberation Serif" w:hAnsi="Liberation Serif"/>
          <w:sz w:val="28"/>
          <w:szCs w:val="28"/>
        </w:rPr>
        <w:t xml:space="preserve">; </w:t>
      </w:r>
    </w:p>
    <w:p w14:paraId="6F35B5FE" w14:textId="77777777" w:rsidR="00B06C34" w:rsidRDefault="005840E4">
      <w:pPr>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в графе 11 строки 108 слово «действующее» заменить на слово «перспективное»;</w:t>
      </w:r>
    </w:p>
    <w:p w14:paraId="7A93C8C8" w14:textId="77777777" w:rsidR="00B06C34" w:rsidRDefault="005840E4">
      <w:pPr>
        <w:widowControl w:val="0"/>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в графе 10 строк 7, 41, 67, 103, 105, 108, 109, 110 исключить период «2019-2026»;</w:t>
      </w:r>
    </w:p>
    <w:p w14:paraId="128A9612" w14:textId="77777777" w:rsidR="00B06C34" w:rsidRDefault="005840E4">
      <w:pPr>
        <w:widowControl w:val="0"/>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в графе 10 строки 124 исключить период «2020-2027»;</w:t>
      </w:r>
    </w:p>
    <w:p w14:paraId="69ABFC4A" w14:textId="77777777" w:rsidR="00B06C34" w:rsidRDefault="005840E4">
      <w:pPr>
        <w:widowControl w:val="0"/>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 xml:space="preserve">в графе 10 строк 134, 137 </w:t>
      </w:r>
      <w:r>
        <w:rPr>
          <w:rFonts w:ascii="Liberation Serif" w:hAnsi="Liberation Serif"/>
          <w:sz w:val="28"/>
          <w:szCs w:val="28"/>
        </w:rPr>
        <w:t>исключить период «2025-2032»;</w:t>
      </w:r>
    </w:p>
    <w:p w14:paraId="05FA953A" w14:textId="77777777" w:rsidR="00B06C34" w:rsidRDefault="005840E4">
      <w:pPr>
        <w:widowControl w:val="0"/>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в графе 10 строк 3, 13, 14, 21, 22, 24, 25, 26, 27, 28, 29, 31, 32, 35, 37, 38, 43, 47, 49, 50, 56, 57, 61, 62, 63, 94, 101, 119, 121, 136 период «2019-2026» заменить на период «2019-2028»;</w:t>
      </w:r>
    </w:p>
    <w:p w14:paraId="793B8C96" w14:textId="77777777" w:rsidR="00B06C34" w:rsidRDefault="005840E4">
      <w:pPr>
        <w:widowControl w:val="0"/>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 xml:space="preserve">в графе 10 строк 10, 42, 125 период </w:t>
      </w:r>
      <w:r>
        <w:rPr>
          <w:rFonts w:ascii="Liberation Serif" w:hAnsi="Liberation Serif"/>
          <w:sz w:val="28"/>
          <w:szCs w:val="28"/>
        </w:rPr>
        <w:t>«2020-2027» заменить на период «2021–2028»;</w:t>
      </w:r>
    </w:p>
    <w:p w14:paraId="7C8D515F" w14:textId="77777777" w:rsidR="00B06C34" w:rsidRDefault="005840E4">
      <w:pPr>
        <w:widowControl w:val="0"/>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в графе 10 строк 18, 95, 111 период «2019-2026» заменить на период «2025–2032»;</w:t>
      </w:r>
    </w:p>
    <w:p w14:paraId="5477A584" w14:textId="77777777" w:rsidR="00B06C34" w:rsidRDefault="005840E4">
      <w:pPr>
        <w:widowControl w:val="0"/>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в графе 10 строк 17, 33, 40, 104 период «2019-2026» заменить на период «2021–2028»;</w:t>
      </w:r>
    </w:p>
    <w:p w14:paraId="0D15AA79" w14:textId="77777777" w:rsidR="00B06C34" w:rsidRDefault="005840E4">
      <w:pPr>
        <w:widowControl w:val="0"/>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в графе 10 строк 39, 53 период «2019-2026» замен</w:t>
      </w:r>
      <w:r>
        <w:rPr>
          <w:rFonts w:ascii="Liberation Serif" w:hAnsi="Liberation Serif"/>
          <w:sz w:val="28"/>
          <w:szCs w:val="28"/>
        </w:rPr>
        <w:t>ить на период «2020–2027»;</w:t>
      </w:r>
    </w:p>
    <w:p w14:paraId="13399E8E" w14:textId="77777777" w:rsidR="00B06C34" w:rsidRDefault="005840E4">
      <w:pPr>
        <w:widowControl w:val="0"/>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в графе 10 строки 128 период «2022-2029» заменить на период «2019–2028»;</w:t>
      </w:r>
    </w:p>
    <w:p w14:paraId="248462B6" w14:textId="77777777" w:rsidR="00B06C34" w:rsidRDefault="005840E4">
      <w:pPr>
        <w:widowControl w:val="0"/>
        <w:numPr>
          <w:ilvl w:val="0"/>
          <w:numId w:val="3"/>
        </w:numPr>
        <w:ind w:left="0" w:firstLine="709"/>
        <w:jc w:val="both"/>
        <w:textAlignment w:val="auto"/>
        <w:rPr>
          <w:rFonts w:ascii="Liberation Serif" w:hAnsi="Liberation Serif"/>
          <w:sz w:val="28"/>
          <w:szCs w:val="28"/>
        </w:rPr>
      </w:pPr>
      <w:r>
        <w:rPr>
          <w:rFonts w:ascii="Liberation Serif" w:hAnsi="Liberation Serif"/>
          <w:sz w:val="28"/>
          <w:szCs w:val="28"/>
        </w:rPr>
        <w:t>в графе 10 строки 130 период «2022-2029» заменить на период «2023–2030».</w:t>
      </w:r>
    </w:p>
    <w:p w14:paraId="05CBB1A5" w14:textId="77777777" w:rsidR="00B06C34" w:rsidRDefault="005840E4">
      <w:pPr>
        <w:widowControl w:val="0"/>
        <w:numPr>
          <w:ilvl w:val="0"/>
          <w:numId w:val="1"/>
        </w:numPr>
        <w:ind w:left="0" w:firstLine="709"/>
        <w:jc w:val="both"/>
        <w:textAlignment w:val="auto"/>
      </w:pPr>
      <w:r>
        <w:rPr>
          <w:rFonts w:ascii="Liberation Serif" w:hAnsi="Liberation Serif"/>
          <w:sz w:val="28"/>
          <w:szCs w:val="28"/>
        </w:rPr>
        <w:t>Опубликовать настоящее постановление в газете «Красное знамя», на официальном интер</w:t>
      </w:r>
      <w:r>
        <w:rPr>
          <w:rFonts w:ascii="Liberation Serif" w:hAnsi="Liberation Serif"/>
          <w:sz w:val="28"/>
          <w:szCs w:val="28"/>
        </w:rPr>
        <w:t>нет-портале правовой информации городского округа Верхняя Пышма (</w:t>
      </w:r>
      <w:hyperlink r:id="rId7" w:history="1">
        <w:r>
          <w:rPr>
            <w:rStyle w:val="a6"/>
            <w:rFonts w:ascii="Liberation Serif" w:hAnsi="Liberation Serif"/>
            <w:color w:val="auto"/>
            <w:sz w:val="28"/>
            <w:szCs w:val="28"/>
            <w:u w:val="none"/>
            <w:lang w:val="en-US"/>
          </w:rPr>
          <w:t>www</w:t>
        </w:r>
        <w:r>
          <w:rPr>
            <w:rStyle w:val="a6"/>
            <w:rFonts w:ascii="Liberation Serif" w:hAnsi="Liberation Serif"/>
            <w:color w:val="auto"/>
            <w:sz w:val="28"/>
            <w:szCs w:val="28"/>
            <w:u w:val="none"/>
          </w:rPr>
          <w:t>.верхняяпышма-право.рф</w:t>
        </w:r>
      </w:hyperlink>
      <w:r>
        <w:rPr>
          <w:rFonts w:ascii="Liberation Serif" w:hAnsi="Liberation Serif"/>
          <w:sz w:val="28"/>
          <w:szCs w:val="28"/>
        </w:rPr>
        <w:t>), разместить на официальном сайте городского округа Верхняя Пышма (</w:t>
      </w:r>
      <w:hyperlink r:id="rId8" w:history="1">
        <w:r>
          <w:rPr>
            <w:rStyle w:val="a6"/>
            <w:rFonts w:ascii="Liberation Serif" w:hAnsi="Liberation Serif"/>
            <w:color w:val="auto"/>
            <w:sz w:val="28"/>
            <w:szCs w:val="28"/>
            <w:u w:val="none"/>
          </w:rPr>
          <w:t>https://movp.r</w:t>
        </w:r>
        <w:r>
          <w:rPr>
            <w:rStyle w:val="a6"/>
            <w:rFonts w:ascii="Liberation Serif" w:hAnsi="Liberation Serif"/>
            <w:color w:val="auto"/>
            <w:sz w:val="28"/>
            <w:szCs w:val="28"/>
            <w:u w:val="none"/>
          </w:rPr>
          <w:t>u/</w:t>
        </w:r>
      </w:hyperlink>
      <w:r>
        <w:rPr>
          <w:rFonts w:ascii="Liberation Serif" w:hAnsi="Liberation Serif"/>
          <w:sz w:val="28"/>
          <w:szCs w:val="28"/>
        </w:rPr>
        <w:t>).</w:t>
      </w:r>
    </w:p>
    <w:tbl>
      <w:tblPr>
        <w:tblW w:w="5000" w:type="pct"/>
        <w:tblCellMar>
          <w:left w:w="10" w:type="dxa"/>
          <w:right w:w="10" w:type="dxa"/>
        </w:tblCellMar>
        <w:tblLook w:val="0000" w:firstRow="0" w:lastRow="0" w:firstColumn="0" w:lastColumn="0" w:noHBand="0" w:noVBand="0"/>
      </w:tblPr>
      <w:tblGrid>
        <w:gridCol w:w="6237"/>
        <w:gridCol w:w="3344"/>
      </w:tblGrid>
      <w:tr w:rsidR="00B06C34" w14:paraId="6F477F07" w14:textId="77777777">
        <w:tblPrEx>
          <w:tblCellMar>
            <w:top w:w="0" w:type="dxa"/>
            <w:bottom w:w="0" w:type="dxa"/>
          </w:tblCellMar>
        </w:tblPrEx>
        <w:tc>
          <w:tcPr>
            <w:tcW w:w="6237" w:type="dxa"/>
            <w:shd w:val="clear" w:color="auto" w:fill="auto"/>
            <w:tcMar>
              <w:top w:w="0" w:type="dxa"/>
              <w:left w:w="0" w:type="dxa"/>
              <w:bottom w:w="0" w:type="dxa"/>
              <w:right w:w="0" w:type="dxa"/>
            </w:tcMar>
            <w:vAlign w:val="bottom"/>
          </w:tcPr>
          <w:p w14:paraId="726AAC07" w14:textId="77777777" w:rsidR="00B06C34" w:rsidRDefault="00B06C34">
            <w:pPr>
              <w:rPr>
                <w:rFonts w:ascii="Liberation Serif" w:hAnsi="Liberation Serif"/>
                <w:sz w:val="28"/>
                <w:szCs w:val="28"/>
              </w:rPr>
            </w:pPr>
          </w:p>
        </w:tc>
        <w:tc>
          <w:tcPr>
            <w:tcW w:w="3344" w:type="dxa"/>
            <w:shd w:val="clear" w:color="auto" w:fill="auto"/>
            <w:tcMar>
              <w:top w:w="0" w:type="dxa"/>
              <w:left w:w="0" w:type="dxa"/>
              <w:bottom w:w="0" w:type="dxa"/>
              <w:right w:w="0" w:type="dxa"/>
            </w:tcMar>
            <w:vAlign w:val="bottom"/>
          </w:tcPr>
          <w:p w14:paraId="01568561" w14:textId="77777777" w:rsidR="00B06C34" w:rsidRDefault="00B06C34">
            <w:pPr>
              <w:jc w:val="right"/>
              <w:rPr>
                <w:rFonts w:ascii="Liberation Serif" w:hAnsi="Liberation Serif"/>
                <w:sz w:val="28"/>
                <w:szCs w:val="28"/>
              </w:rPr>
            </w:pPr>
          </w:p>
        </w:tc>
      </w:tr>
    </w:tbl>
    <w:p w14:paraId="24E11081" w14:textId="77777777" w:rsidR="00B06C34" w:rsidRDefault="00B06C34">
      <w:pPr>
        <w:pStyle w:val="ConsNormal"/>
        <w:widowControl/>
        <w:ind w:firstLine="0"/>
        <w:rPr>
          <w:rFonts w:ascii="Liberation Serif" w:hAnsi="Liberation Serif"/>
        </w:rPr>
      </w:pPr>
    </w:p>
    <w:tbl>
      <w:tblPr>
        <w:tblW w:w="5000" w:type="pct"/>
        <w:tblLayout w:type="fixed"/>
        <w:tblCellMar>
          <w:left w:w="10" w:type="dxa"/>
          <w:right w:w="10" w:type="dxa"/>
        </w:tblCellMar>
        <w:tblLook w:val="0000" w:firstRow="0" w:lastRow="0" w:firstColumn="0" w:lastColumn="0" w:noHBand="0" w:noVBand="0"/>
      </w:tblPr>
      <w:tblGrid>
        <w:gridCol w:w="6237"/>
        <w:gridCol w:w="3344"/>
      </w:tblGrid>
      <w:tr w:rsidR="00B06C34" w14:paraId="415A70F0" w14:textId="77777777">
        <w:tblPrEx>
          <w:tblCellMar>
            <w:top w:w="0" w:type="dxa"/>
            <w:bottom w:w="0" w:type="dxa"/>
          </w:tblCellMar>
        </w:tblPrEx>
        <w:tc>
          <w:tcPr>
            <w:tcW w:w="6237" w:type="dxa"/>
            <w:shd w:val="clear" w:color="auto" w:fill="auto"/>
            <w:tcMar>
              <w:top w:w="0" w:type="dxa"/>
              <w:left w:w="0" w:type="dxa"/>
              <w:bottom w:w="0" w:type="dxa"/>
              <w:right w:w="0" w:type="dxa"/>
            </w:tcMar>
            <w:vAlign w:val="bottom"/>
          </w:tcPr>
          <w:p w14:paraId="6942E586" w14:textId="77777777" w:rsidR="00B06C34" w:rsidRDefault="005840E4">
            <w:pPr>
              <w:rPr>
                <w:rFonts w:ascii="Liberation Serif" w:hAnsi="Liberation Serif"/>
                <w:sz w:val="28"/>
                <w:szCs w:val="28"/>
              </w:rPr>
            </w:pPr>
            <w:r>
              <w:rPr>
                <w:rFonts w:ascii="Liberation Serif" w:hAnsi="Liberation Serif"/>
                <w:sz w:val="28"/>
                <w:szCs w:val="28"/>
              </w:rPr>
              <w:t xml:space="preserve">Исполняющий полномочия </w:t>
            </w:r>
            <w:r>
              <w:rPr>
                <w:rFonts w:ascii="Liberation Serif" w:hAnsi="Liberation Serif"/>
                <w:sz w:val="28"/>
                <w:szCs w:val="28"/>
              </w:rPr>
              <w:br/>
            </w:r>
            <w:r>
              <w:rPr>
                <w:rFonts w:ascii="Liberation Serif" w:hAnsi="Liberation Serif"/>
                <w:sz w:val="28"/>
                <w:szCs w:val="28"/>
              </w:rPr>
              <w:t>Главы городского округа</w:t>
            </w:r>
          </w:p>
        </w:tc>
        <w:tc>
          <w:tcPr>
            <w:tcW w:w="3344" w:type="dxa"/>
            <w:shd w:val="clear" w:color="auto" w:fill="auto"/>
            <w:tcMar>
              <w:top w:w="0" w:type="dxa"/>
              <w:left w:w="0" w:type="dxa"/>
              <w:bottom w:w="0" w:type="dxa"/>
              <w:right w:w="0" w:type="dxa"/>
            </w:tcMar>
            <w:vAlign w:val="bottom"/>
          </w:tcPr>
          <w:p w14:paraId="466C3C84" w14:textId="77777777" w:rsidR="00B06C34" w:rsidRDefault="005840E4">
            <w:pPr>
              <w:jc w:val="right"/>
              <w:rPr>
                <w:rFonts w:ascii="Liberation Serif" w:hAnsi="Liberation Serif"/>
                <w:sz w:val="28"/>
                <w:szCs w:val="28"/>
              </w:rPr>
            </w:pPr>
            <w:r>
              <w:rPr>
                <w:rFonts w:ascii="Liberation Serif" w:hAnsi="Liberation Serif"/>
                <w:sz w:val="28"/>
                <w:szCs w:val="28"/>
              </w:rPr>
              <w:t>С.А. Барменков</w:t>
            </w:r>
          </w:p>
        </w:tc>
      </w:tr>
    </w:tbl>
    <w:p w14:paraId="45AB90FC" w14:textId="77777777" w:rsidR="00B06C34" w:rsidRDefault="00B06C34">
      <w:pPr>
        <w:pStyle w:val="ConsNormal"/>
        <w:widowControl/>
        <w:ind w:firstLine="0"/>
        <w:rPr>
          <w:rFonts w:ascii="Liberation Serif" w:hAnsi="Liberation Serif"/>
        </w:rPr>
      </w:pPr>
    </w:p>
    <w:sectPr w:rsidR="00B06C34">
      <w:headerReference w:type="default" r:id="rId9"/>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10EE7" w14:textId="77777777" w:rsidR="005840E4" w:rsidRDefault="005840E4">
      <w:r>
        <w:separator/>
      </w:r>
    </w:p>
  </w:endnote>
  <w:endnote w:type="continuationSeparator" w:id="0">
    <w:p w14:paraId="0FA688EC" w14:textId="77777777" w:rsidR="005840E4" w:rsidRDefault="00584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CD9DC" w14:textId="77777777" w:rsidR="005840E4" w:rsidRDefault="005840E4">
      <w:r>
        <w:rPr>
          <w:color w:val="000000"/>
        </w:rPr>
        <w:separator/>
      </w:r>
    </w:p>
  </w:footnote>
  <w:footnote w:type="continuationSeparator" w:id="0">
    <w:p w14:paraId="59F146DE" w14:textId="77777777" w:rsidR="005840E4" w:rsidRDefault="00584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256CF" w14:textId="77777777" w:rsidR="007E4845" w:rsidRDefault="005840E4">
    <w:pPr>
      <w:pStyle w:val="a3"/>
      <w:jc w:val="center"/>
    </w:pPr>
  </w:p>
  <w:p w14:paraId="49C9371D" w14:textId="77777777" w:rsidR="007E4845" w:rsidRDefault="005840E4">
    <w:pPr>
      <w:pStyle w:val="a3"/>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F570B0"/>
    <w:multiLevelType w:val="multilevel"/>
    <w:tmpl w:val="E5EAEDFE"/>
    <w:lvl w:ilvl="0">
      <w:start w:val="1"/>
      <w:numFmt w:val="decimal"/>
      <w:lvlText w:val="%1."/>
      <w:lvlJc w:val="left"/>
      <w:pPr>
        <w:ind w:left="1069" w:hanging="360"/>
      </w:pPr>
      <w:rPr>
        <w:rFonts w:ascii="Liberation Serif" w:hAnsi="Liberation Serif"/>
        <w:sz w:val="28"/>
        <w:szCs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71CC642D"/>
    <w:multiLevelType w:val="multilevel"/>
    <w:tmpl w:val="CC2E973A"/>
    <w:lvl w:ilvl="0">
      <w:start w:val="1"/>
      <w:numFmt w:val="decimal"/>
      <w:lvlText w:val="%1)"/>
      <w:lvlJc w:val="left"/>
      <w:pPr>
        <w:ind w:left="1069" w:hanging="360"/>
      </w:pPr>
      <w:rPr>
        <w:rFonts w:ascii="Liberation Serif" w:hAnsi="Liberation Serif"/>
        <w:sz w:val="28"/>
        <w:szCs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06C34"/>
    <w:rsid w:val="00034521"/>
    <w:rsid w:val="005840E4"/>
    <w:rsid w:val="00B06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8CE45"/>
  <w15:docId w15:val="{0CA99078-6A4B-4BB6-8C39-C609A8F7F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styleId="a3">
    <w:name w:val="header"/>
    <w:basedOn w:val="a"/>
    <w:pPr>
      <w:tabs>
        <w:tab w:val="center" w:pos="4677"/>
        <w:tab w:val="right" w:pos="9355"/>
      </w:tabs>
    </w:pPr>
  </w:style>
  <w:style w:type="paragraph" w:styleId="a4">
    <w:name w:val="footer"/>
    <w:basedOn w:val="a"/>
    <w:pPr>
      <w:tabs>
        <w:tab w:val="center" w:pos="4677"/>
        <w:tab w:val="right" w:pos="9355"/>
      </w:tabs>
    </w:pPr>
  </w:style>
  <w:style w:type="paragraph" w:styleId="a5">
    <w:name w:val="Balloon Text"/>
    <w:basedOn w:val="a"/>
    <w:rPr>
      <w:rFonts w:ascii="Tahoma" w:hAnsi="Tahoma" w:cs="Tahoma"/>
      <w:sz w:val="16"/>
      <w:szCs w:val="16"/>
    </w:rPr>
  </w:style>
  <w:style w:type="paragraph" w:customStyle="1" w:styleId="ConsNormal">
    <w:name w:val="ConsNormal"/>
    <w:pPr>
      <w:widowControl w:val="0"/>
      <w:suppressAutoHyphens/>
      <w:snapToGrid w:val="0"/>
      <w:ind w:firstLine="720"/>
    </w:pPr>
    <w:rPr>
      <w:rFonts w:ascii="Arial" w:hAnsi="Arial"/>
    </w:rPr>
  </w:style>
  <w:style w:type="paragraph" w:customStyle="1" w:styleId="TableContents">
    <w:name w:val="Table Contents"/>
    <w:basedOn w:val="Standard"/>
    <w:pPr>
      <w:suppressLineNumbers/>
    </w:pPr>
  </w:style>
  <w:style w:type="character" w:styleId="a6">
    <w:name w:val="Hyperlink"/>
    <w:rPr>
      <w:color w:val="0000FF"/>
      <w:u w:val="single"/>
    </w:rPr>
  </w:style>
  <w:style w:type="character" w:customStyle="1" w:styleId="a7">
    <w:name w:val="Верхний колонтитул Знак"/>
    <w:rPr>
      <w:sz w:val="24"/>
      <w:szCs w:val="24"/>
    </w:rPr>
  </w:style>
  <w:style w:type="character" w:customStyle="1" w:styleId="a8">
    <w:name w:val="Нижний колонтитул Знак"/>
    <w:rPr>
      <w:sz w:val="24"/>
      <w:szCs w:val="24"/>
    </w:rPr>
  </w:style>
  <w:style w:type="character" w:customStyle="1" w:styleId="a9">
    <w:name w:val="Текст выноски Знак"/>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ovp.ru/" TargetMode="External"/><Relationship Id="rId3" Type="http://schemas.openxmlformats.org/officeDocument/2006/relationships/settings" Target="settings.xml"/><Relationship Id="rId7" Type="http://schemas.openxmlformats.org/officeDocument/2006/relationships/hyperlink" Target="http://www.&#1074;&#1077;&#1088;&#1093;&#1085;&#1103;&#1103;&#1087;&#1099;&#1096;&#1084;&#1072;-&#1087;&#1088;&#1072;&#1074;&#1086;.&#1088;&#10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536</Words>
  <Characters>3059</Characters>
  <Application>Microsoft Office Word</Application>
  <DocSecurity>0</DocSecurity>
  <Lines>25</Lines>
  <Paragraphs>7</Paragraphs>
  <ScaleCrop>false</ScaleCrop>
  <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larionova</dc:creator>
  <dc:description/>
  <cp:lastModifiedBy>Света</cp:lastModifiedBy>
  <cp:revision>2</cp:revision>
  <cp:lastPrinted>2026-08-10T09:11:00Z</cp:lastPrinted>
  <dcterms:created xsi:type="dcterms:W3CDTF">2026-08-10T12:06:00Z</dcterms:created>
  <dcterms:modified xsi:type="dcterms:W3CDTF">2026-08-10T12:06:00Z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Вид РК">
    <vt:lpwstr> </vt:lpwstr>
  </property>
  <property fmtid="{D5CDD505-2E9C-101B-9397-08002B2CF9AE}" pid="3" name="Вид РК - винительный падеж">
    <vt:lpwstr> </vt:lpwstr>
  </property>
  <property fmtid="{D5CDD505-2E9C-101B-9397-08002B2CF9AE}" pid="4" name="Вид РК - дательный падеж">
    <vt:lpwstr> </vt:lpwstr>
  </property>
  <property fmtid="{D5CDD505-2E9C-101B-9397-08002B2CF9AE}" pid="5" name="Вид РК - предложный падеж">
    <vt:lpwstr> </vt:lpwstr>
  </property>
  <property fmtid="{D5CDD505-2E9C-101B-9397-08002B2CF9AE}" pid="6" name="Вид РК - родительный падеж">
    <vt:lpwstr> </vt:lpwstr>
  </property>
  <property fmtid="{D5CDD505-2E9C-101B-9397-08002B2CF9AE}" pid="7" name="Вид РК - творительный падеж">
    <vt:lpwstr> </vt:lpwstr>
  </property>
  <property fmtid="{D5CDD505-2E9C-101B-9397-08002B2CF9AE}" pid="8" name="Временный номер">
    <vt:lpwstr> </vt:lpwstr>
  </property>
  <property fmtid="{D5CDD505-2E9C-101B-9397-08002B2CF9AE}" pid="9" name="Заголовок">
    <vt:lpwstr> </vt:lpwstr>
  </property>
  <property fmtid="{D5CDD505-2E9C-101B-9397-08002B2CF9AE}" pid="10" name="И.О. головного подписанта">
    <vt:lpwstr> </vt:lpwstr>
  </property>
  <property fmtid="{D5CDD505-2E9C-101B-9397-08002B2CF9AE}" pid="11" name="И.О. исполнителя">
    <vt:lpwstr> </vt:lpwstr>
  </property>
  <property fmtid="{D5CDD505-2E9C-101B-9397-08002B2CF9AE}" pid="12" name="И.О. руководителя органа исполнителя">
    <vt:lpwstr> </vt:lpwstr>
  </property>
  <property fmtid="{D5CDD505-2E9C-101B-9397-08002B2CF9AE}" pid="13" name="Краткая должность головного подписанта">
    <vt:lpwstr> </vt:lpwstr>
  </property>
  <property fmtid="{D5CDD505-2E9C-101B-9397-08002B2CF9AE}" pid="14" name="Краткая должность исполнителя">
    <vt:lpwstr> </vt:lpwstr>
  </property>
  <property fmtid="{D5CDD505-2E9C-101B-9397-08002B2CF9AE}" pid="15" name="Краткая должность руководителя органа исполнителя">
    <vt:lpwstr> </vt:lpwstr>
  </property>
  <property fmtid="{D5CDD505-2E9C-101B-9397-08002B2CF9AE}" pid="16" name="Название органа головного подписанта">
    <vt:lpwstr> </vt:lpwstr>
  </property>
  <property fmtid="{D5CDD505-2E9C-101B-9397-08002B2CF9AE}" pid="17" name="Название органа исполнителя">
    <vt:lpwstr> </vt:lpwstr>
  </property>
  <property fmtid="{D5CDD505-2E9C-101B-9397-08002B2CF9AE}" pid="18" name="Полная должность головного подписанта">
    <vt:lpwstr> </vt:lpwstr>
  </property>
  <property fmtid="{D5CDD505-2E9C-101B-9397-08002B2CF9AE}" pid="19" name="Полная должность исполнителя">
    <vt:lpwstr> </vt:lpwstr>
  </property>
  <property fmtid="{D5CDD505-2E9C-101B-9397-08002B2CF9AE}" pid="20" name="Полная должность руководителя органа исполнителя">
    <vt:lpwstr> </vt:lpwstr>
  </property>
  <property fmtid="{D5CDD505-2E9C-101B-9397-08002B2CF9AE}" pid="21" name="Рег.дата">
    <vt:lpwstr> </vt:lpwstr>
  </property>
  <property fmtid="{D5CDD505-2E9C-101B-9397-08002B2CF9AE}" pid="22" name="Рег.№">
    <vt:lpwstr> </vt:lpwstr>
  </property>
  <property fmtid="{D5CDD505-2E9C-101B-9397-08002B2CF9AE}" pid="23" name="Телефон исполнителя">
    <vt:lpwstr> </vt:lpwstr>
  </property>
  <property fmtid="{D5CDD505-2E9C-101B-9397-08002B2CF9AE}" pid="24" name="Фамилия головного подписанта">
    <vt:lpwstr> </vt:lpwstr>
  </property>
  <property fmtid="{D5CDD505-2E9C-101B-9397-08002B2CF9AE}" pid="25" name="Фамилия исполнителя">
    <vt:lpwstr> </vt:lpwstr>
  </property>
  <property fmtid="{D5CDD505-2E9C-101B-9397-08002B2CF9AE}" pid="26" name="Фамилия руководителя органа исполнителя">
    <vt:lpwstr> </vt:lpwstr>
  </property>
</Properties>
</file>